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4716145</wp:posOffset>
            </wp:positionH>
            <wp:positionV relativeFrom="paragraph">
              <wp:posOffset>8303260</wp:posOffset>
            </wp:positionV>
            <wp:extent cx="1141730" cy="55943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egulamin minigry rodzinnej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„</w:t>
      </w:r>
      <w:r>
        <w:rPr>
          <w:b/>
          <w:bCs/>
        </w:rPr>
        <w:t>W zdrowym ciele zdrowe serce”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26.06.2022 r.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Organizatorzy: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 xml:space="preserve">1. Organizatorem minigry miejskiej „W zdrowym ciele zdrowe serce”, zwanej dalej grą, rozgrywanej w Parku </w:t>
      </w:r>
      <w:r>
        <w:rPr/>
        <w:t>Róż</w:t>
      </w:r>
      <w:r>
        <w:rPr/>
        <w:t xml:space="preserve"> w Gorzowie Wlkp. I w jego okolicy jest Wielospecjalistyczny Szpital Wojewódzki w Gorzowie Wlkp. zwany dalej organizatorem.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2. Gra zostanie przeprowadzona 26 czerwca 2022 r. w Parku Róż i w jego okolicy w Gorzowie Wlkp.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2. Fundatorem nagród jest organizator gry.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Zasady gry – REJESTRACJA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 xml:space="preserve">1. Zapisy na grę są prowadzone przez internet. Zgłoszenia należy przesyłać na adres: </w:t>
      </w:r>
      <w:hyperlink r:id="rId3">
        <w:r>
          <w:rPr>
            <w:rStyle w:val="Czeinternetowe"/>
          </w:rPr>
          <w:t>redakcja@szpital.gorzow.pl</w:t>
        </w:r>
      </w:hyperlink>
      <w:r>
        <w:rPr/>
        <w:t>. Zgłoszenie powinno zawierać imiona i nazwiska uczestników oraz ich wiek. W zgłoszeniu należy też podać nr telefonu do osoby pełnoletniej z zespołu.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2. Każda z drużyn musi wymyślić nazwę grupy i wpisać ją w zgłoszeniu.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3. Zgłoszenia będą przyjmowane od 20 czerwca od godz. 13.00 do 25 czerwca do 12.00 lub do wyczerpania miejsc. Organizator zastrzega możliwość przyjęcia zgłoszeń w dniu wydarzenia, jeśli do tego czasu nie będzie wyczerpana liczba miejsc.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4. Po zgłoszeniu drużyny organizator potwierdza jej przyjęcie do gry drogą elektroniczną.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5. W grze może wziąć udział sześć zespołów liczących maksymalnie cztery osoby (minimalna liczba uczestników w zespole to dwie osoby).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6. Uczestnikami gry nie mogą być pracownicy i przedstawiciele organizatora oraz ich bliscy.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Zasady gry – UDZIAŁ W GRZE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1. Udział w grze jest dobrowolny i bezpłatny.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2. Każda z drużyn składa się z minimum dwóch a maksymalnie z czterech osób.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3. Przynajmniej jedna osoba w każdej drużynie musi być pełnoletnia.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ODBIÓR KART DO GRY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1. Gra zostanie przeprowadzona 26 czerwca w godzinach 13.00 – 14.00.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2. Punkty startowe i finałowe będą na terenie Parku Róż w Gorzowie Wlkp.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3. Odbiór Kart do gry zarejestrowanych internetowo drużyn możliwy będzie 26 czerwca od 12.00 w punkcie organizatora na terenie Parku Róż w Gorzowie Wlkp.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4. Skład drużyny jest weryfikowany przez organizatora na miejscu podczas wydawania kart do gry.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5. Nieodebranie Kart do gry do 13.00 26 czerwca 2022 roku jest równoznaczne z rezygnacją z gry.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6. Organizator nie ponosi odpowiedzialności za bezpieczeństwo osób uczestniczących w grze, poza odpowiedzialnością wyrażoną wprost w przepisach obowiązującego prawa. Każdy z uczestników odpowiada za własne bezpieczeństwo w trakcie udziału w grze. Za bezpieczeństwo niepełnoletnich uczestników gry oraz przestrzeganie regulaminu odpowiada  osoba pełnoletnia w każdej drużynie.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7. Poprzez odbiór karty do gry uczestnik wyraża zgodę na: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a) wzięcie udziału w grze na warunkach określonych w niniejszym regulaminie;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 xml:space="preserve"> </w:t>
      </w:r>
      <w:r>
        <w:rPr/>
        <w:t xml:space="preserve">b) przetwarzanie przez organizatora danych osobowych uczestnika w zakresie niezbędnym dla przeprowadzenia gry; 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c) opublikowanie na łamach prasy i w mediach oraz na stronach internetowych organizatorów, zdjęć oraz nagrań z gry, na których znajduje się wizerunek uczestnika.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ZASADY, PRZEBIEG I ZAKOŃCZENIE GRY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 xml:space="preserve">1. Gra zostanie przeprowadzona 26 czerwca 2022 roku podczas Pikniku Zdrowotnego w Parku </w:t>
      </w:r>
      <w:r>
        <w:rPr/>
        <w:t>Róż</w:t>
      </w:r>
      <w:r>
        <w:rPr/>
        <w:t xml:space="preserve"> w Gorzowie Wlkp. między 13.00 a 14.30 na terenie i obrzeżach parku.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 xml:space="preserve">2. Zadaniem uczestników gry jest odnalezienie sześciu stanowisk z zadaniami i wykonanie ich. Za każde wykonane zadanie uczestnicy dostaną naklejki z literkami, z których na samym końcu zabawy będą musieli utworzyć hasło. 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3. Drużyny będą wypuszczane z punktu organizatora – STARTU GRY w odstępach czasowych (3 minuty maksymalnie).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4. Gra kończy się zdaniem Karty Gry przedstawicielowi organizatora  na ostatnim stanowisku z zadaniami.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5. Za wygrane uznaje się te drużyny, które zdobędą wszystkie naklejki i wykleją z nich prawidłowe hasło.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6. Dla zwycięzców przewidziano nagrody ufundowane przez organizatora.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b/>
          <w:b/>
          <w:bCs/>
        </w:rPr>
      </w:pPr>
      <w:r>
        <w:rPr>
          <w:b/>
          <w:bCs/>
        </w:rPr>
        <w:t>POSTANOWIENIE KOŃCOWE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1. Udział w Grze oznacza akceptację niniejszego regulaminu.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  <w:t>2. Regulamin Gry dostępny będzie do wglądu w punkcie startowym.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Calibri" w:hAnsi="Calibri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531" w:header="2268" w:top="2325" w:footer="567" w:bottom="62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adea">
    <w:altName w:val="Cambria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uppressLineNumbers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uppressLineNumbers/>
      <w:bidi w:val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4819"/>
        <w:tab w:val="clear" w:pos="9638"/>
      </w:tabs>
      <w:bidi w:val="0"/>
      <w:ind w:left="-840" w:right="0" w:hanging="0"/>
      <w:jc w:val="center"/>
      <w:rPr>
        <w:rFonts w:ascii="Calibri" w:hAnsi="Calibri"/>
        <w:sz w:val="14"/>
        <w:szCs w:val="1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15875</wp:posOffset>
          </wp:positionH>
          <wp:positionV relativeFrom="paragraph">
            <wp:posOffset>-4445</wp:posOffset>
          </wp:positionV>
          <wp:extent cx="570230" cy="554990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4"/>
        <w:szCs w:val="14"/>
      </w:rPr>
      <w:t>6</w:t>
    </w:r>
    <w:r>
      <w:rPr>
        <w:sz w:val="14"/>
        <w:szCs w:val="14"/>
      </w:rPr>
      <w:t xml:space="preserve">6-400 Gorzów Wlkp., ul. Dekerta 1   tel.  95 7827 101  </w:t>
    </w:r>
  </w:p>
  <w:p>
    <w:pPr>
      <w:pStyle w:val="Stopka"/>
      <w:tabs>
        <w:tab w:val="clear" w:pos="4819"/>
        <w:tab w:val="clear" w:pos="9638"/>
      </w:tabs>
      <w:bidi w:val="0"/>
      <w:ind w:left="-840" w:right="0" w:hanging="0"/>
      <w:jc w:val="center"/>
      <w:rPr>
        <w:rFonts w:ascii="Calibri" w:hAnsi="Calibri"/>
        <w:sz w:val="14"/>
        <w:szCs w:val="14"/>
      </w:rPr>
    </w:pPr>
    <w:r>
      <w:rPr>
        <w:sz w:val="14"/>
        <w:szCs w:val="14"/>
      </w:rPr>
      <w:t>E-mail: sekretariat@szpital.gorzow.pl   www.szpital.gorzow.pl</w:t>
    </w:r>
  </w:p>
  <w:p>
    <w:pPr>
      <w:pStyle w:val="Stopka"/>
      <w:tabs>
        <w:tab w:val="clear" w:pos="4819"/>
        <w:tab w:val="clear" w:pos="9638"/>
      </w:tabs>
      <w:bidi w:val="0"/>
      <w:ind w:left="-840" w:right="0" w:hanging="0"/>
      <w:jc w:val="center"/>
      <w:rPr>
        <w:rFonts w:ascii="Calibri" w:hAnsi="Calibri"/>
        <w:sz w:val="14"/>
        <w:szCs w:val="14"/>
      </w:rPr>
    </w:pPr>
    <w:r>
      <w:rPr>
        <w:sz w:val="14"/>
        <w:szCs w:val="14"/>
      </w:rPr>
      <w:t xml:space="preserve">NIP 599-31-68-108, REGON  211228381  </w:t>
    </w:r>
  </w:p>
  <w:p>
    <w:pPr>
      <w:pStyle w:val="Stopka"/>
      <w:tabs>
        <w:tab w:val="clear" w:pos="4819"/>
        <w:tab w:val="clear" w:pos="9638"/>
      </w:tabs>
      <w:bidi w:val="0"/>
      <w:ind w:left="-840" w:right="0" w:hanging="0"/>
      <w:jc w:val="center"/>
      <w:rPr>
        <w:rFonts w:ascii="Calibri" w:hAnsi="Calibri"/>
        <w:sz w:val="14"/>
        <w:szCs w:val="14"/>
      </w:rPr>
    </w:pPr>
    <w:r>
      <w:rPr>
        <w:sz w:val="14"/>
        <w:szCs w:val="14"/>
      </w:rPr>
      <w:t xml:space="preserve">Sąd Rejonowy w Zielonej Górze  VIII Wydział Gospodarczy, </w:t>
    </w:r>
  </w:p>
  <w:p>
    <w:pPr>
      <w:pStyle w:val="Stopka"/>
      <w:tabs>
        <w:tab w:val="clear" w:pos="4819"/>
        <w:tab w:val="clear" w:pos="9638"/>
      </w:tabs>
      <w:bidi w:val="0"/>
      <w:ind w:left="-840" w:right="0" w:hanging="0"/>
      <w:jc w:val="center"/>
      <w:rPr>
        <w:rFonts w:ascii="Calibri" w:hAnsi="Calibri"/>
        <w:sz w:val="14"/>
        <w:szCs w:val="14"/>
      </w:rPr>
    </w:pPr>
    <w:r>
      <w:rPr>
        <w:sz w:val="14"/>
        <w:szCs w:val="14"/>
      </w:rPr>
      <w:t>KRS  0000476259  Kapitał założycielski  47 000 000,00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lewa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lewa"/>
      <w:tabs>
        <w:tab w:val="left" w:pos="0" w:leader="none"/>
        <w:tab w:val="left" w:pos="3588" w:leader="none"/>
        <w:tab w:val="center" w:pos="4620" w:leader="none"/>
        <w:tab w:val="right" w:pos="9241" w:leader="none"/>
      </w:tabs>
      <w:bidi w:val="0"/>
      <w:jc w:val="left"/>
      <w:rPr/>
    </w:pPr>
    <w:r>
      <w:rPr/>
    </w:r>
  </w:p>
  <w:p>
    <w:pPr>
      <w:pStyle w:val="Gwkalewa"/>
      <w:tabs>
        <w:tab w:val="left" w:pos="0" w:leader="none"/>
        <w:tab w:val="left" w:pos="3588" w:leader="none"/>
        <w:tab w:val="center" w:pos="4620" w:leader="none"/>
        <w:tab w:val="right" w:pos="9241" w:leader="none"/>
      </w:tabs>
      <w:bidi w:val="0"/>
      <w:jc w:val="left"/>
      <w:rPr/>
    </w:pPr>
    <w:r>
      <w:rPr/>
    </w:r>
  </w:p>
  <w:p>
    <w:pPr>
      <w:pStyle w:val="Gwkalewa"/>
      <w:tabs>
        <w:tab w:val="left" w:pos="0" w:leader="none"/>
        <w:tab w:val="left" w:pos="3588" w:leader="none"/>
        <w:tab w:val="center" w:pos="4620" w:leader="none"/>
        <w:tab w:val="right" w:pos="9241" w:leader="none"/>
      </w:tabs>
      <w:bidi w:val="0"/>
      <w:jc w:val="left"/>
      <w:rPr/>
    </w:pPr>
    <w:r>
      <w:rPr/>
    </w:r>
  </w:p>
  <w:p>
    <w:pPr>
      <w:pStyle w:val="Gwkalewa"/>
      <w:tabs>
        <w:tab w:val="left" w:pos="0" w:leader="none"/>
        <w:tab w:val="left" w:pos="3588" w:leader="none"/>
        <w:tab w:val="center" w:pos="4620" w:leader="none"/>
        <w:tab w:val="right" w:pos="9241" w:leader="none"/>
      </w:tabs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3352800" cy="1066800"/>
          <wp:effectExtent l="0" t="0" r="0" b="0"/>
          <wp:wrapTopAndBottom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gwek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Nagwek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Nagwek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Nagwek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ource Han Sans CN Regular" w:cs="Lohit Devanagari"/>
      <w:color w:val="auto"/>
      <w:kern w:val="2"/>
      <w:sz w:val="24"/>
      <w:szCs w:val="24"/>
      <w:lang w:val="pl-PL" w:eastAsia="pl-PL" w:bidi="pl-PL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pBdr>
        <w:bottom w:val="single" w:sz="2" w:space="1" w:color="000000"/>
      </w:pBdr>
      <w:spacing w:before="240" w:after="120"/>
      <w:outlineLvl w:val="0"/>
    </w:pPr>
    <w:rPr>
      <w:b w:val="false"/>
      <w:bCs w:val="false"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 w:val="false"/>
      <w:bCs w:val="false"/>
      <w:sz w:val="32"/>
      <w:szCs w:val="32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</w:pPr>
    <w:rPr>
      <w:b w:val="false"/>
      <w:bCs w:val="false"/>
      <w:sz w:val="28"/>
      <w:szCs w:val="28"/>
    </w:rPr>
  </w:style>
  <w:style w:type="paragraph" w:styleId="Nagwek4">
    <w:name w:val="Heading 4"/>
    <w:basedOn w:val="Nagwek"/>
    <w:next w:val="Tretekstu"/>
    <w:qFormat/>
    <w:pPr>
      <w:numPr>
        <w:ilvl w:val="3"/>
        <w:numId w:val="1"/>
      </w:numPr>
      <w:spacing w:before="120" w:after="120"/>
      <w:outlineLvl w:val="3"/>
    </w:pPr>
    <w:rPr>
      <w:b w:val="false"/>
      <w:bCs w:val="false"/>
      <w:i/>
      <w:iCs/>
      <w:sz w:val="27"/>
      <w:szCs w:val="27"/>
    </w:rPr>
  </w:style>
  <w:style w:type="paragraph" w:styleId="Nagwek5">
    <w:name w:val="Heading 5"/>
    <w:basedOn w:val="Nagwek"/>
    <w:next w:val="Tretekstu"/>
    <w:qFormat/>
    <w:pPr>
      <w:numPr>
        <w:ilvl w:val="4"/>
        <w:numId w:val="1"/>
      </w:numPr>
      <w:spacing w:before="120" w:after="60"/>
      <w:outlineLvl w:val="4"/>
    </w:pPr>
    <w:rPr>
      <w:b w:val="false"/>
      <w:bCs w:val="false"/>
      <w:sz w:val="24"/>
      <w:szCs w:val="24"/>
    </w:rPr>
  </w:style>
  <w:style w:type="paragraph" w:styleId="Nagwek6">
    <w:name w:val="Heading 6"/>
    <w:basedOn w:val="Nagwek"/>
    <w:next w:val="Tretekstu"/>
    <w:qFormat/>
    <w:pPr>
      <w:numPr>
        <w:ilvl w:val="5"/>
        <w:numId w:val="1"/>
      </w:numPr>
      <w:spacing w:before="60" w:after="60"/>
      <w:outlineLvl w:val="5"/>
    </w:pPr>
    <w:rPr>
      <w:b w:val="false"/>
      <w:bCs w:val="false"/>
      <w:i/>
      <w:iCs/>
      <w:sz w:val="24"/>
      <w:szCs w:val="24"/>
    </w:rPr>
  </w:style>
  <w:style w:type="paragraph" w:styleId="Nagwek7">
    <w:name w:val="Heading 7"/>
    <w:basedOn w:val="Nagwek"/>
    <w:next w:val="Tretekstu"/>
    <w:qFormat/>
    <w:pPr>
      <w:numPr>
        <w:ilvl w:val="6"/>
        <w:numId w:val="1"/>
      </w:numPr>
      <w:spacing w:before="60" w:after="60"/>
      <w:outlineLvl w:val="6"/>
    </w:pPr>
    <w:rPr>
      <w:b w:val="false"/>
      <w:bCs w:val="false"/>
      <w:sz w:val="22"/>
      <w:szCs w:val="22"/>
    </w:rPr>
  </w:style>
  <w:style w:type="paragraph" w:styleId="Nagwek8">
    <w:name w:val="Heading 8"/>
    <w:basedOn w:val="Nagwek"/>
    <w:next w:val="Tretekstu"/>
    <w:qFormat/>
    <w:pPr>
      <w:numPr>
        <w:ilvl w:val="7"/>
        <w:numId w:val="1"/>
      </w:numPr>
      <w:spacing w:before="60" w:after="60"/>
      <w:outlineLvl w:val="7"/>
    </w:pPr>
    <w:rPr>
      <w:b w:val="false"/>
      <w:bCs w:val="false"/>
      <w:i/>
      <w:iCs/>
      <w:sz w:val="22"/>
      <w:szCs w:val="22"/>
    </w:rPr>
  </w:style>
  <w:style w:type="paragraph" w:styleId="Nagwek9">
    <w:name w:val="Heading 9"/>
    <w:basedOn w:val="Nagwek"/>
    <w:next w:val="Tretekstu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bidi w:val="0"/>
      <w:spacing w:before="240" w:after="120"/>
    </w:pPr>
    <w:rPr>
      <w:rFonts w:ascii="Caladea" w:hAnsi="Caladea" w:eastAsia="Source Han Sans CN Regular" w:cs="Lohit Devanagari"/>
      <w:caps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>
      <w:sz w:val="22"/>
    </w:rPr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pBdr>
        <w:top w:val="single" w:sz="6" w:space="1" w:color="000000"/>
        <w:bottom w:val="single" w:sz="6" w:space="1" w:color="000000"/>
      </w:pBd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pacing w:before="60" w:after="120"/>
      <w:jc w:val="center"/>
    </w:pPr>
    <w:rPr>
      <w:smallCaps/>
      <w:sz w:val="36"/>
      <w:szCs w:val="36"/>
    </w:rPr>
  </w:style>
  <w:style w:type="paragraph" w:styleId="Nagwek10">
    <w:name w:val="Nagłówek 10"/>
    <w:basedOn w:val="Nagwek"/>
    <w:next w:val="Tretekstu"/>
    <w:qFormat/>
    <w:pPr>
      <w:spacing w:before="60" w:after="60"/>
      <w:outlineLvl w:val="8"/>
    </w:pPr>
    <w:rPr>
      <w:b w:val="false"/>
      <w:bCs w:val="false"/>
      <w:sz w:val="21"/>
      <w:szCs w:val="21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lewa">
    <w:name w:val="Główka lewa"/>
    <w:basedOn w:val="Normal"/>
    <w:qFormat/>
    <w:pPr>
      <w:suppressLineNumbers/>
      <w:tabs>
        <w:tab w:val="clear" w:pos="709"/>
        <w:tab w:val="center" w:pos="4620" w:leader="none"/>
        <w:tab w:val="right" w:pos="9241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dakcja@szpital.gorzow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291</TotalTime>
  <Application>Wielospecjalistyczny_Szpital_Wojewódzki_w_Gorzowie_Wlkp./7.0.0.3$Windows_X86_64 LibreOffice_project/8061b3e9204bef6b321a21033174034a5e2ea88e</Application>
  <Pages>2</Pages>
  <Words>592</Words>
  <Characters>3482</Characters>
  <CharactersWithSpaces>4054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2022-06-09T11:29:31Z</dcterms:created>
  <dc:creator/>
  <dc:description/>
  <dc:language>pl-PL</dc:language>
  <cp:lastModifiedBy/>
  <dcterms:modified xsi:type="dcterms:W3CDTF">2022-06-20T12:17:48Z</dcterms:modified>
  <cp:revision>13</cp:revision>
  <dc:subject/>
  <dc:title>Modern</dc:title>
</cp:coreProperties>
</file>